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FF54" w14:textId="0BC49ECC" w:rsidR="00E6556E" w:rsidRPr="00A044B6" w:rsidRDefault="00F94F7A" w:rsidP="00E6556E">
      <w:pPr>
        <w:rPr>
          <w:color w:val="833C0B" w:themeColor="accent2" w:themeShade="80"/>
          <w:sz w:val="28"/>
          <w:szCs w:val="28"/>
        </w:rPr>
      </w:pPr>
      <w:r w:rsidRPr="00A044B6">
        <w:rPr>
          <w:noProof/>
          <w:color w:val="833C0B" w:themeColor="accent2" w:themeShade="80"/>
          <w:sz w:val="28"/>
          <w:szCs w:val="28"/>
          <w14:ligatures w14:val="standardContextual"/>
        </w:rPr>
        <w:drawing>
          <wp:anchor distT="0" distB="0" distL="114300" distR="114300" simplePos="0" relativeHeight="251659264" behindDoc="0" locked="0" layoutInCell="1" allowOverlap="1" wp14:anchorId="3EB4A302" wp14:editId="05873193">
            <wp:simplePos x="0" y="0"/>
            <wp:positionH relativeFrom="column">
              <wp:posOffset>2131060</wp:posOffset>
            </wp:positionH>
            <wp:positionV relativeFrom="paragraph">
              <wp:posOffset>129540</wp:posOffset>
            </wp:positionV>
            <wp:extent cx="1645920" cy="1555750"/>
            <wp:effectExtent l="0" t="0" r="508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645920" cy="1555750"/>
                    </a:xfrm>
                    <a:prstGeom prst="rect">
                      <a:avLst/>
                    </a:prstGeom>
                  </pic:spPr>
                </pic:pic>
              </a:graphicData>
            </a:graphic>
            <wp14:sizeRelH relativeFrom="margin">
              <wp14:pctWidth>0</wp14:pctWidth>
            </wp14:sizeRelH>
            <wp14:sizeRelV relativeFrom="margin">
              <wp14:pctHeight>0</wp14:pctHeight>
            </wp14:sizeRelV>
          </wp:anchor>
        </w:drawing>
      </w:r>
    </w:p>
    <w:p w14:paraId="75DEEB8D" w14:textId="77777777" w:rsidR="00BC6BC8" w:rsidRDefault="00A620E9" w:rsidP="00F0209B">
      <w:pPr>
        <w:jc w:val="center"/>
        <w:rPr>
          <w:color w:val="833C0B" w:themeColor="accent2" w:themeShade="80"/>
          <w:sz w:val="28"/>
          <w:szCs w:val="28"/>
        </w:rPr>
      </w:pPr>
      <w:r w:rsidRPr="00A044B6">
        <w:rPr>
          <w:color w:val="833C0B" w:themeColor="accent2" w:themeShade="80"/>
          <w:sz w:val="28"/>
          <w:szCs w:val="28"/>
        </w:rPr>
        <w:t>EXAMPLE</w:t>
      </w:r>
    </w:p>
    <w:p w14:paraId="4279BC3E" w14:textId="5C9FB490" w:rsidR="00A620E9" w:rsidRDefault="00A620E9" w:rsidP="00F0209B">
      <w:pPr>
        <w:jc w:val="center"/>
        <w:rPr>
          <w:color w:val="833C0B" w:themeColor="accent2" w:themeShade="80"/>
          <w:sz w:val="28"/>
          <w:szCs w:val="28"/>
        </w:rPr>
      </w:pPr>
      <w:r w:rsidRPr="00A044B6">
        <w:rPr>
          <w:color w:val="833C0B" w:themeColor="accent2" w:themeShade="80"/>
          <w:sz w:val="28"/>
          <w:szCs w:val="28"/>
        </w:rPr>
        <w:t xml:space="preserve"> Whistleblowing Policy</w:t>
      </w:r>
    </w:p>
    <w:p w14:paraId="2359D951" w14:textId="58094FB1" w:rsidR="00BC6BC8" w:rsidRPr="00A620E9" w:rsidRDefault="00BC6BC8" w:rsidP="00D32AA8">
      <w:pPr>
        <w:rPr>
          <w:color w:val="833C0B" w:themeColor="accent2" w:themeShade="80"/>
          <w:sz w:val="20"/>
          <w:szCs w:val="20"/>
        </w:rPr>
      </w:pPr>
    </w:p>
    <w:p w14:paraId="0FD48118" w14:textId="192DC3FE" w:rsidR="00E6556E" w:rsidRPr="00A044B6" w:rsidRDefault="00E6556E" w:rsidP="00E6556E">
      <w:pPr>
        <w:rPr>
          <w:color w:val="833C0B" w:themeColor="accent2" w:themeShade="80"/>
          <w:sz w:val="28"/>
          <w:szCs w:val="28"/>
        </w:rPr>
      </w:pPr>
    </w:p>
    <w:p w14:paraId="5DEED57F" w14:textId="03FF6801" w:rsidR="00004911" w:rsidRPr="001D7146" w:rsidRDefault="00E6556E" w:rsidP="00BC6BC8">
      <w:pPr>
        <w:jc w:val="center"/>
        <w:rPr>
          <w:b/>
          <w:bCs/>
          <w:color w:val="833C0B" w:themeColor="accent2" w:themeShade="80"/>
          <w:sz w:val="28"/>
          <w:szCs w:val="28"/>
        </w:rPr>
      </w:pPr>
      <w:r w:rsidRPr="001D7146">
        <w:rPr>
          <w:b/>
          <w:bCs/>
          <w:color w:val="833C0B" w:themeColor="accent2" w:themeShade="80"/>
          <w:sz w:val="28"/>
          <w:szCs w:val="28"/>
        </w:rPr>
        <w:t>Introduction</w:t>
      </w:r>
    </w:p>
    <w:p w14:paraId="334EBBD3" w14:textId="77777777" w:rsidR="00004911" w:rsidRPr="00A044B6" w:rsidRDefault="00004911" w:rsidP="00004911">
      <w:pPr>
        <w:jc w:val="center"/>
        <w:rPr>
          <w:color w:val="833C0B" w:themeColor="accent2" w:themeShade="80"/>
          <w:sz w:val="28"/>
          <w:szCs w:val="28"/>
        </w:rPr>
      </w:pPr>
    </w:p>
    <w:p w14:paraId="0C60B8C4" w14:textId="6A045863" w:rsidR="00E6556E" w:rsidRDefault="00D32AA8" w:rsidP="00E6556E">
      <w:pPr>
        <w:rPr>
          <w:color w:val="833C0B" w:themeColor="accent2" w:themeShade="80"/>
          <w:sz w:val="28"/>
          <w:szCs w:val="28"/>
        </w:rPr>
      </w:pPr>
      <w:r>
        <w:rPr>
          <w:color w:val="833C0B" w:themeColor="accent2" w:themeShade="80"/>
          <w:sz w:val="28"/>
          <w:szCs w:val="28"/>
        </w:rPr>
        <w:t>Our company</w:t>
      </w:r>
      <w:r w:rsidR="00E6556E" w:rsidRPr="00A044B6">
        <w:rPr>
          <w:color w:val="833C0B" w:themeColor="accent2" w:themeShade="80"/>
          <w:sz w:val="28"/>
          <w:szCs w:val="28"/>
        </w:rPr>
        <w:t xml:space="preserve"> is committed to achieving the highest possible standards of service, including honesty, openness and accountability and recognises that employees have an important role to play in achieving this goal.</w:t>
      </w:r>
    </w:p>
    <w:p w14:paraId="43BFADF3" w14:textId="77777777" w:rsidR="001D7146" w:rsidRPr="00A044B6" w:rsidRDefault="001D7146" w:rsidP="00E6556E">
      <w:pPr>
        <w:rPr>
          <w:color w:val="833C0B" w:themeColor="accent2" w:themeShade="80"/>
          <w:sz w:val="28"/>
          <w:szCs w:val="28"/>
        </w:rPr>
      </w:pPr>
    </w:p>
    <w:p w14:paraId="759D0114" w14:textId="4EC3953C" w:rsidR="00E6556E" w:rsidRPr="00A044B6" w:rsidRDefault="00E6556E" w:rsidP="00E6556E">
      <w:pPr>
        <w:rPr>
          <w:color w:val="833C0B" w:themeColor="accent2" w:themeShade="80"/>
          <w:sz w:val="28"/>
          <w:szCs w:val="28"/>
        </w:rPr>
      </w:pPr>
      <w:r w:rsidRPr="00A044B6">
        <w:rPr>
          <w:color w:val="833C0B" w:themeColor="accent2" w:themeShade="80"/>
          <w:sz w:val="28"/>
          <w:szCs w:val="28"/>
        </w:rPr>
        <w:t>Any of us may at one time or another have concerns about what is happening at work. Often these concerns are easily resolved. However, where the concern involves, for example, a danger to the public or colleagues, illegal practice, misconduct or financial malpractice, it can be difficult to know what to do.</w:t>
      </w:r>
    </w:p>
    <w:p w14:paraId="4040FBDC" w14:textId="77777777" w:rsidR="00B21153" w:rsidRPr="00A044B6" w:rsidRDefault="00B21153" w:rsidP="00E6556E">
      <w:pPr>
        <w:rPr>
          <w:color w:val="833C0B" w:themeColor="accent2" w:themeShade="80"/>
          <w:sz w:val="28"/>
          <w:szCs w:val="28"/>
        </w:rPr>
      </w:pPr>
    </w:p>
    <w:p w14:paraId="233F6037" w14:textId="2B8110E8" w:rsidR="00E6556E" w:rsidRPr="001D7146" w:rsidRDefault="00E6556E" w:rsidP="00E6556E">
      <w:pPr>
        <w:rPr>
          <w:b/>
          <w:bCs/>
          <w:color w:val="833C0B" w:themeColor="accent2" w:themeShade="80"/>
          <w:sz w:val="28"/>
          <w:szCs w:val="28"/>
        </w:rPr>
      </w:pPr>
      <w:r w:rsidRPr="001D7146">
        <w:rPr>
          <w:b/>
          <w:bCs/>
          <w:color w:val="833C0B" w:themeColor="accent2" w:themeShade="80"/>
          <w:sz w:val="28"/>
          <w:szCs w:val="28"/>
        </w:rPr>
        <w:t>Background to the whistleblowing policy</w:t>
      </w:r>
    </w:p>
    <w:p w14:paraId="11724EA7" w14:textId="77777777" w:rsidR="001D7146" w:rsidRPr="00A044B6" w:rsidRDefault="001D7146" w:rsidP="00E6556E">
      <w:pPr>
        <w:rPr>
          <w:color w:val="833C0B" w:themeColor="accent2" w:themeShade="80"/>
          <w:sz w:val="28"/>
          <w:szCs w:val="28"/>
        </w:rPr>
      </w:pPr>
    </w:p>
    <w:p w14:paraId="515AF2E0" w14:textId="3A3C2668" w:rsidR="00E6556E" w:rsidRPr="00A044B6" w:rsidRDefault="00E72531" w:rsidP="00E6556E">
      <w:pPr>
        <w:rPr>
          <w:color w:val="833C0B" w:themeColor="accent2" w:themeShade="80"/>
          <w:sz w:val="28"/>
          <w:szCs w:val="28"/>
        </w:rPr>
      </w:pPr>
      <w:r>
        <w:rPr>
          <w:color w:val="833C0B" w:themeColor="accent2" w:themeShade="80"/>
          <w:sz w:val="28"/>
          <w:szCs w:val="28"/>
        </w:rPr>
        <w:t>TSD 4 Foster Carers</w:t>
      </w:r>
      <w:r w:rsidR="00E6556E" w:rsidRPr="00A044B6">
        <w:rPr>
          <w:color w:val="833C0B" w:themeColor="accent2" w:themeShade="80"/>
          <w:sz w:val="28"/>
          <w:szCs w:val="28"/>
        </w:rPr>
        <w:t xml:space="preserve"> has introduced this policy to enable everyone to blow the whistle safely when appropriate so that such issues are raised at an early stage and in the right way. </w:t>
      </w:r>
      <w:r>
        <w:rPr>
          <w:color w:val="833C0B" w:themeColor="accent2" w:themeShade="80"/>
          <w:sz w:val="28"/>
          <w:szCs w:val="28"/>
        </w:rPr>
        <w:t>TSD 4 Foster Carers</w:t>
      </w:r>
      <w:r w:rsidR="00E6556E" w:rsidRPr="00A044B6">
        <w:rPr>
          <w:color w:val="833C0B" w:themeColor="accent2" w:themeShade="80"/>
          <w:sz w:val="28"/>
          <w:szCs w:val="28"/>
        </w:rPr>
        <w:t xml:space="preserve"> welcomes information about genuine concerns and is committed to dealing responsibly, openly and professionally with them.</w:t>
      </w:r>
    </w:p>
    <w:p w14:paraId="76D8E526" w14:textId="77777777" w:rsidR="00B21153" w:rsidRPr="00A044B6" w:rsidRDefault="00B21153" w:rsidP="00E6556E">
      <w:pPr>
        <w:rPr>
          <w:color w:val="833C0B" w:themeColor="accent2" w:themeShade="80"/>
          <w:sz w:val="28"/>
          <w:szCs w:val="28"/>
        </w:rPr>
      </w:pPr>
    </w:p>
    <w:p w14:paraId="29244D80" w14:textId="77777777" w:rsidR="00E6556E" w:rsidRPr="00A044B6" w:rsidRDefault="00E6556E" w:rsidP="00E6556E">
      <w:pPr>
        <w:rPr>
          <w:color w:val="833C0B" w:themeColor="accent2" w:themeShade="80"/>
          <w:sz w:val="28"/>
          <w:szCs w:val="28"/>
        </w:rPr>
      </w:pPr>
      <w:r w:rsidRPr="00A044B6">
        <w:rPr>
          <w:color w:val="833C0B" w:themeColor="accent2" w:themeShade="80"/>
          <w:sz w:val="28"/>
          <w:szCs w:val="28"/>
        </w:rPr>
        <w:t>This policy relates to serious or sensitive concerns about matters such as:</w:t>
      </w:r>
    </w:p>
    <w:p w14:paraId="70BDDDF8" w14:textId="1C08E22C" w:rsidR="00E6556E" w:rsidRPr="006E3F31" w:rsidRDefault="00E6556E" w:rsidP="00D90112">
      <w:pPr>
        <w:pStyle w:val="ListParagraph"/>
        <w:numPr>
          <w:ilvl w:val="2"/>
          <w:numId w:val="2"/>
        </w:numPr>
        <w:rPr>
          <w:color w:val="833C0B" w:themeColor="accent2" w:themeShade="80"/>
          <w:sz w:val="28"/>
          <w:szCs w:val="28"/>
        </w:rPr>
      </w:pPr>
      <w:r w:rsidRPr="006E3F31">
        <w:rPr>
          <w:color w:val="833C0B" w:themeColor="accent2" w:themeShade="80"/>
          <w:sz w:val="28"/>
          <w:szCs w:val="28"/>
        </w:rPr>
        <w:t>Fraud or financial irregularity</w:t>
      </w:r>
    </w:p>
    <w:p w14:paraId="3EF97552" w14:textId="49A15B70" w:rsidR="00E6556E" w:rsidRPr="006E3F31" w:rsidRDefault="00E6556E" w:rsidP="00D90112">
      <w:pPr>
        <w:pStyle w:val="ListParagraph"/>
        <w:numPr>
          <w:ilvl w:val="2"/>
          <w:numId w:val="2"/>
        </w:numPr>
        <w:rPr>
          <w:color w:val="833C0B" w:themeColor="accent2" w:themeShade="80"/>
          <w:sz w:val="28"/>
          <w:szCs w:val="28"/>
        </w:rPr>
      </w:pPr>
      <w:r w:rsidRPr="006E3F31">
        <w:rPr>
          <w:color w:val="833C0B" w:themeColor="accent2" w:themeShade="80"/>
          <w:sz w:val="28"/>
          <w:szCs w:val="28"/>
        </w:rPr>
        <w:t>Corruption, bribery or blackmail</w:t>
      </w:r>
    </w:p>
    <w:p w14:paraId="031698F1" w14:textId="4E3DBCD7" w:rsidR="00E6556E" w:rsidRPr="006E3F31" w:rsidRDefault="00E6556E" w:rsidP="00D90112">
      <w:pPr>
        <w:pStyle w:val="ListParagraph"/>
        <w:numPr>
          <w:ilvl w:val="2"/>
          <w:numId w:val="2"/>
        </w:numPr>
        <w:rPr>
          <w:color w:val="833C0B" w:themeColor="accent2" w:themeShade="80"/>
          <w:sz w:val="28"/>
          <w:szCs w:val="28"/>
        </w:rPr>
      </w:pPr>
      <w:r w:rsidRPr="006E3F31">
        <w:rPr>
          <w:color w:val="833C0B" w:themeColor="accent2" w:themeShade="80"/>
          <w:sz w:val="28"/>
          <w:szCs w:val="28"/>
        </w:rPr>
        <w:t>Failure to comply with legal or regularity duty or obligation</w:t>
      </w:r>
    </w:p>
    <w:p w14:paraId="405D2558" w14:textId="4663F460" w:rsidR="00E6556E" w:rsidRPr="00F45871" w:rsidRDefault="00E6556E" w:rsidP="00D90112">
      <w:pPr>
        <w:pStyle w:val="ListParagraph"/>
        <w:numPr>
          <w:ilvl w:val="2"/>
          <w:numId w:val="2"/>
        </w:numPr>
        <w:rPr>
          <w:color w:val="833C0B" w:themeColor="accent2" w:themeShade="80"/>
          <w:sz w:val="28"/>
          <w:szCs w:val="28"/>
        </w:rPr>
      </w:pPr>
      <w:r w:rsidRPr="00F45871">
        <w:rPr>
          <w:color w:val="833C0B" w:themeColor="accent2" w:themeShade="80"/>
          <w:sz w:val="28"/>
          <w:szCs w:val="28"/>
        </w:rPr>
        <w:t>Malpractice or abuse of a client including improper discrimination or</w:t>
      </w:r>
      <w:r w:rsidR="00D90112" w:rsidRPr="00F45871">
        <w:rPr>
          <w:color w:val="833C0B" w:themeColor="accent2" w:themeShade="80"/>
          <w:sz w:val="28"/>
          <w:szCs w:val="28"/>
        </w:rPr>
        <w:t xml:space="preserve"> </w:t>
      </w:r>
      <w:r w:rsidRPr="00F45871">
        <w:rPr>
          <w:color w:val="833C0B" w:themeColor="accent2" w:themeShade="80"/>
          <w:sz w:val="28"/>
          <w:szCs w:val="28"/>
        </w:rPr>
        <w:t>relationships with clients</w:t>
      </w:r>
    </w:p>
    <w:p w14:paraId="506E721E" w14:textId="7CBA3708" w:rsidR="00E6556E" w:rsidRPr="006E3F31" w:rsidRDefault="00E6556E" w:rsidP="00D90112">
      <w:pPr>
        <w:pStyle w:val="ListParagraph"/>
        <w:numPr>
          <w:ilvl w:val="2"/>
          <w:numId w:val="2"/>
        </w:numPr>
        <w:rPr>
          <w:color w:val="833C0B" w:themeColor="accent2" w:themeShade="80"/>
          <w:sz w:val="28"/>
          <w:szCs w:val="28"/>
        </w:rPr>
      </w:pPr>
      <w:r w:rsidRPr="006E3F31">
        <w:rPr>
          <w:color w:val="833C0B" w:themeColor="accent2" w:themeShade="80"/>
          <w:sz w:val="28"/>
          <w:szCs w:val="28"/>
        </w:rPr>
        <w:t>A miscarriage of justice.</w:t>
      </w:r>
    </w:p>
    <w:p w14:paraId="381CB7E0" w14:textId="0EDE1E74" w:rsidR="00E6556E" w:rsidRPr="00D90112" w:rsidRDefault="00E6556E" w:rsidP="00D90112">
      <w:pPr>
        <w:pStyle w:val="ListParagraph"/>
        <w:numPr>
          <w:ilvl w:val="2"/>
          <w:numId w:val="2"/>
        </w:numPr>
        <w:rPr>
          <w:color w:val="833C0B" w:themeColor="accent2" w:themeShade="80"/>
          <w:sz w:val="28"/>
          <w:szCs w:val="28"/>
        </w:rPr>
      </w:pPr>
      <w:r w:rsidRPr="00D90112">
        <w:rPr>
          <w:color w:val="833C0B" w:themeColor="accent2" w:themeShade="80"/>
          <w:sz w:val="28"/>
          <w:szCs w:val="28"/>
        </w:rPr>
        <w:lastRenderedPageBreak/>
        <w:t>Endangering the health and safety of any individual or individuals.</w:t>
      </w:r>
    </w:p>
    <w:p w14:paraId="40C6D116" w14:textId="7342F8CE" w:rsidR="00E6556E" w:rsidRPr="00D90112" w:rsidRDefault="00E6556E" w:rsidP="00D90112">
      <w:pPr>
        <w:pStyle w:val="ListParagraph"/>
        <w:numPr>
          <w:ilvl w:val="2"/>
          <w:numId w:val="2"/>
        </w:numPr>
        <w:rPr>
          <w:color w:val="833C0B" w:themeColor="accent2" w:themeShade="80"/>
          <w:sz w:val="28"/>
          <w:szCs w:val="28"/>
        </w:rPr>
      </w:pPr>
      <w:r w:rsidRPr="00D90112">
        <w:rPr>
          <w:color w:val="833C0B" w:themeColor="accent2" w:themeShade="80"/>
          <w:sz w:val="28"/>
          <w:szCs w:val="28"/>
        </w:rPr>
        <w:t>Endangering the environment.</w:t>
      </w:r>
    </w:p>
    <w:p w14:paraId="2625E05E" w14:textId="77777777" w:rsidR="00B377E2" w:rsidRPr="00A044B6" w:rsidRDefault="00B377E2" w:rsidP="00E6556E">
      <w:pPr>
        <w:rPr>
          <w:color w:val="833C0B" w:themeColor="accent2" w:themeShade="80"/>
          <w:sz w:val="28"/>
          <w:szCs w:val="28"/>
        </w:rPr>
      </w:pPr>
    </w:p>
    <w:p w14:paraId="7403880F" w14:textId="35A215AA" w:rsidR="00E6556E" w:rsidRPr="00A044B6" w:rsidRDefault="00E6556E" w:rsidP="00E6556E">
      <w:pPr>
        <w:rPr>
          <w:color w:val="833C0B" w:themeColor="accent2" w:themeShade="80"/>
          <w:sz w:val="28"/>
          <w:szCs w:val="28"/>
        </w:rPr>
      </w:pPr>
      <w:r w:rsidRPr="00A044B6">
        <w:rPr>
          <w:color w:val="833C0B" w:themeColor="accent2" w:themeShade="80"/>
          <w:sz w:val="28"/>
          <w:szCs w:val="28"/>
        </w:rPr>
        <w:t>The policy does NOT apply to:</w:t>
      </w:r>
    </w:p>
    <w:p w14:paraId="46878C9A" w14:textId="6AABF6FB" w:rsidR="00E6556E" w:rsidRPr="00A044B6" w:rsidRDefault="00E6556E" w:rsidP="00E6556E">
      <w:pPr>
        <w:rPr>
          <w:color w:val="833C0B" w:themeColor="accent2" w:themeShade="80"/>
          <w:sz w:val="28"/>
          <w:szCs w:val="28"/>
        </w:rPr>
      </w:pPr>
    </w:p>
    <w:p w14:paraId="5929D22D" w14:textId="77777777" w:rsidR="00E6556E" w:rsidRPr="00A044B6" w:rsidRDefault="00E6556E" w:rsidP="00E6556E">
      <w:pPr>
        <w:rPr>
          <w:color w:val="833C0B" w:themeColor="accent2" w:themeShade="80"/>
          <w:sz w:val="28"/>
          <w:szCs w:val="28"/>
        </w:rPr>
      </w:pPr>
    </w:p>
    <w:p w14:paraId="3470E735" w14:textId="0A41CC8C" w:rsidR="00E6556E" w:rsidRPr="00684654" w:rsidRDefault="00E6556E" w:rsidP="00684654">
      <w:pPr>
        <w:pStyle w:val="ListParagraph"/>
        <w:numPr>
          <w:ilvl w:val="1"/>
          <w:numId w:val="4"/>
        </w:numPr>
        <w:rPr>
          <w:color w:val="833C0B" w:themeColor="accent2" w:themeShade="80"/>
          <w:sz w:val="28"/>
          <w:szCs w:val="28"/>
        </w:rPr>
      </w:pPr>
      <w:r w:rsidRPr="00684654">
        <w:rPr>
          <w:color w:val="833C0B" w:themeColor="accent2" w:themeShade="80"/>
          <w:sz w:val="28"/>
          <w:szCs w:val="28"/>
        </w:rPr>
        <w:t xml:space="preserve">Relationships between employees, their managers and </w:t>
      </w:r>
      <w:r w:rsidR="00CB3B9D">
        <w:rPr>
          <w:color w:val="833C0B" w:themeColor="accent2" w:themeShade="80"/>
          <w:sz w:val="28"/>
          <w:szCs w:val="28"/>
        </w:rPr>
        <w:t xml:space="preserve">TSD 4 Foster Carers </w:t>
      </w:r>
      <w:r w:rsidRPr="00684654">
        <w:rPr>
          <w:color w:val="833C0B" w:themeColor="accent2" w:themeShade="80"/>
          <w:sz w:val="28"/>
          <w:szCs w:val="28"/>
        </w:rPr>
        <w:t>for which harassment, bullying and other dispute procedures are more appropriate.</w:t>
      </w:r>
    </w:p>
    <w:p w14:paraId="6A62B471" w14:textId="27D2AC67" w:rsidR="00E6556E" w:rsidRPr="00684654" w:rsidRDefault="00E6556E" w:rsidP="00684654">
      <w:pPr>
        <w:pStyle w:val="ListParagraph"/>
        <w:numPr>
          <w:ilvl w:val="1"/>
          <w:numId w:val="4"/>
        </w:numPr>
        <w:rPr>
          <w:color w:val="833C0B" w:themeColor="accent2" w:themeShade="80"/>
          <w:sz w:val="28"/>
          <w:szCs w:val="28"/>
        </w:rPr>
      </w:pPr>
      <w:r w:rsidRPr="00684654">
        <w:rPr>
          <w:color w:val="833C0B" w:themeColor="accent2" w:themeShade="80"/>
          <w:sz w:val="28"/>
          <w:szCs w:val="28"/>
        </w:rPr>
        <w:t>Concerns or complaints by members of the public to which the Complaints Procedure would apply.</w:t>
      </w:r>
    </w:p>
    <w:p w14:paraId="67B14B3C" w14:textId="1E5705BE" w:rsidR="00E6556E" w:rsidRDefault="00E6556E" w:rsidP="00684654">
      <w:pPr>
        <w:pStyle w:val="ListParagraph"/>
        <w:numPr>
          <w:ilvl w:val="1"/>
          <w:numId w:val="4"/>
        </w:numPr>
        <w:rPr>
          <w:color w:val="833C0B" w:themeColor="accent2" w:themeShade="80"/>
          <w:sz w:val="28"/>
          <w:szCs w:val="28"/>
        </w:rPr>
      </w:pPr>
      <w:r w:rsidRPr="00684654">
        <w:rPr>
          <w:color w:val="833C0B" w:themeColor="accent2" w:themeShade="80"/>
          <w:sz w:val="28"/>
          <w:szCs w:val="28"/>
        </w:rPr>
        <w:t xml:space="preserve">Concerns or complaints about the behaviour of Elected Members working with </w:t>
      </w:r>
      <w:r w:rsidR="009E0DB2">
        <w:rPr>
          <w:color w:val="833C0B" w:themeColor="accent2" w:themeShade="80"/>
          <w:sz w:val="28"/>
          <w:szCs w:val="28"/>
        </w:rPr>
        <w:t>TSD 4 Foster Carers</w:t>
      </w:r>
      <w:r w:rsidRPr="00684654">
        <w:rPr>
          <w:color w:val="833C0B" w:themeColor="accent2" w:themeShade="80"/>
          <w:sz w:val="28"/>
          <w:szCs w:val="28"/>
        </w:rPr>
        <w:t xml:space="preserve"> to which the Members Code of Conduct would apply.</w:t>
      </w:r>
    </w:p>
    <w:p w14:paraId="1F13D7E2" w14:textId="77777777" w:rsidR="00684654" w:rsidRPr="00684654" w:rsidRDefault="00684654" w:rsidP="00684654">
      <w:pPr>
        <w:ind w:left="1080"/>
        <w:rPr>
          <w:color w:val="833C0B" w:themeColor="accent2" w:themeShade="80"/>
          <w:sz w:val="28"/>
          <w:szCs w:val="28"/>
        </w:rPr>
      </w:pPr>
    </w:p>
    <w:p w14:paraId="17A02420" w14:textId="70121323" w:rsidR="00E6556E" w:rsidRDefault="00E6556E" w:rsidP="00520BFA">
      <w:pPr>
        <w:rPr>
          <w:color w:val="833C0B" w:themeColor="accent2" w:themeShade="80"/>
          <w:sz w:val="28"/>
          <w:szCs w:val="28"/>
        </w:rPr>
      </w:pPr>
      <w:r w:rsidRPr="00520BFA">
        <w:rPr>
          <w:color w:val="833C0B" w:themeColor="accent2" w:themeShade="80"/>
          <w:sz w:val="28"/>
          <w:szCs w:val="28"/>
        </w:rPr>
        <w:t>Aims of this policy</w:t>
      </w:r>
    </w:p>
    <w:p w14:paraId="00751E47" w14:textId="77777777" w:rsidR="00520BFA" w:rsidRPr="00520BFA" w:rsidRDefault="00520BFA" w:rsidP="00520BFA">
      <w:pPr>
        <w:rPr>
          <w:color w:val="833C0B" w:themeColor="accent2" w:themeShade="80"/>
          <w:sz w:val="28"/>
          <w:szCs w:val="28"/>
        </w:rPr>
      </w:pPr>
    </w:p>
    <w:p w14:paraId="7596A59B" w14:textId="772886E1" w:rsidR="00E6556E" w:rsidRPr="00684654" w:rsidRDefault="00E6556E" w:rsidP="00684654">
      <w:pPr>
        <w:pStyle w:val="ListParagraph"/>
        <w:numPr>
          <w:ilvl w:val="0"/>
          <w:numId w:val="4"/>
        </w:numPr>
        <w:rPr>
          <w:color w:val="833C0B" w:themeColor="accent2" w:themeShade="80"/>
          <w:sz w:val="28"/>
          <w:szCs w:val="28"/>
        </w:rPr>
      </w:pPr>
      <w:r w:rsidRPr="00684654">
        <w:rPr>
          <w:color w:val="833C0B" w:themeColor="accent2" w:themeShade="80"/>
          <w:sz w:val="28"/>
          <w:szCs w:val="28"/>
        </w:rPr>
        <w:t xml:space="preserve">To have a clear whistleblowing approach for raising concerns about illegal practice, misconduct or financial malpractice, dangers to the public or staff within </w:t>
      </w:r>
      <w:r w:rsidR="004E7659">
        <w:rPr>
          <w:color w:val="833C0B" w:themeColor="accent2" w:themeShade="80"/>
          <w:sz w:val="28"/>
          <w:szCs w:val="28"/>
        </w:rPr>
        <w:t>TSD 4 Foster Carers</w:t>
      </w:r>
      <w:r w:rsidRPr="00684654">
        <w:rPr>
          <w:color w:val="833C0B" w:themeColor="accent2" w:themeShade="80"/>
          <w:sz w:val="28"/>
          <w:szCs w:val="28"/>
        </w:rPr>
        <w:t>.</w:t>
      </w:r>
    </w:p>
    <w:p w14:paraId="2F5C1E2D" w14:textId="77777777" w:rsidR="00E6556E" w:rsidRPr="00684654" w:rsidRDefault="00E6556E" w:rsidP="00684654">
      <w:pPr>
        <w:pStyle w:val="ListParagraph"/>
        <w:numPr>
          <w:ilvl w:val="0"/>
          <w:numId w:val="4"/>
        </w:numPr>
        <w:rPr>
          <w:color w:val="833C0B" w:themeColor="accent2" w:themeShade="80"/>
          <w:sz w:val="28"/>
          <w:szCs w:val="28"/>
        </w:rPr>
      </w:pPr>
      <w:r w:rsidRPr="00684654">
        <w:rPr>
          <w:color w:val="833C0B" w:themeColor="accent2" w:themeShade="80"/>
          <w:sz w:val="28"/>
          <w:szCs w:val="28"/>
        </w:rPr>
        <w:t>Objectives of the policy</w:t>
      </w:r>
    </w:p>
    <w:p w14:paraId="7BFE695A" w14:textId="77777777" w:rsidR="00E6556E" w:rsidRPr="00684654" w:rsidRDefault="00E6556E" w:rsidP="00684654">
      <w:pPr>
        <w:pStyle w:val="ListParagraph"/>
        <w:numPr>
          <w:ilvl w:val="0"/>
          <w:numId w:val="4"/>
        </w:numPr>
        <w:rPr>
          <w:color w:val="833C0B" w:themeColor="accent2" w:themeShade="80"/>
          <w:sz w:val="28"/>
          <w:szCs w:val="28"/>
        </w:rPr>
      </w:pPr>
      <w:r w:rsidRPr="00684654">
        <w:rPr>
          <w:color w:val="833C0B" w:themeColor="accent2" w:themeShade="80"/>
          <w:sz w:val="28"/>
          <w:szCs w:val="28"/>
        </w:rPr>
        <w:t>To ensure:</w:t>
      </w:r>
    </w:p>
    <w:p w14:paraId="6A1CAD0F" w14:textId="2B57FE77" w:rsidR="00E6556E" w:rsidRPr="00684654" w:rsidRDefault="00E6556E" w:rsidP="00684654">
      <w:pPr>
        <w:pStyle w:val="ListParagraph"/>
        <w:numPr>
          <w:ilvl w:val="1"/>
          <w:numId w:val="4"/>
        </w:numPr>
        <w:rPr>
          <w:color w:val="833C0B" w:themeColor="accent2" w:themeShade="80"/>
          <w:sz w:val="28"/>
          <w:szCs w:val="28"/>
        </w:rPr>
      </w:pPr>
      <w:r w:rsidRPr="00684654">
        <w:rPr>
          <w:color w:val="833C0B" w:themeColor="accent2" w:themeShade="80"/>
          <w:sz w:val="28"/>
          <w:szCs w:val="28"/>
        </w:rPr>
        <w:t xml:space="preserve">there is a clear framework in place so </w:t>
      </w:r>
      <w:r w:rsidR="004E7659">
        <w:rPr>
          <w:color w:val="833C0B" w:themeColor="accent2" w:themeShade="80"/>
          <w:sz w:val="28"/>
          <w:szCs w:val="28"/>
        </w:rPr>
        <w:t>TSD 4 Foster Carers</w:t>
      </w:r>
      <w:r w:rsidRPr="00684654">
        <w:rPr>
          <w:color w:val="833C0B" w:themeColor="accent2" w:themeShade="80"/>
          <w:sz w:val="28"/>
          <w:szCs w:val="28"/>
        </w:rPr>
        <w:t xml:space="preserve"> can support any employee that whistle blows</w:t>
      </w:r>
    </w:p>
    <w:p w14:paraId="692812F4" w14:textId="38FECF28" w:rsidR="00E6556E" w:rsidRPr="00684654" w:rsidRDefault="00E6556E" w:rsidP="00684654">
      <w:pPr>
        <w:pStyle w:val="ListParagraph"/>
        <w:numPr>
          <w:ilvl w:val="1"/>
          <w:numId w:val="4"/>
        </w:numPr>
        <w:rPr>
          <w:color w:val="833C0B" w:themeColor="accent2" w:themeShade="80"/>
          <w:sz w:val="28"/>
          <w:szCs w:val="28"/>
        </w:rPr>
      </w:pPr>
      <w:r w:rsidRPr="00684654">
        <w:rPr>
          <w:color w:val="833C0B" w:themeColor="accent2" w:themeShade="80"/>
          <w:sz w:val="28"/>
          <w:szCs w:val="28"/>
        </w:rPr>
        <w:t>that staff understand the position on whistleblowing</w:t>
      </w:r>
    </w:p>
    <w:p w14:paraId="416C1A2B" w14:textId="448BC092" w:rsidR="00E6556E" w:rsidRPr="00684654" w:rsidRDefault="00E6556E" w:rsidP="00684654">
      <w:pPr>
        <w:pStyle w:val="ListParagraph"/>
        <w:numPr>
          <w:ilvl w:val="1"/>
          <w:numId w:val="4"/>
        </w:numPr>
        <w:rPr>
          <w:color w:val="833C0B" w:themeColor="accent2" w:themeShade="80"/>
          <w:sz w:val="28"/>
          <w:szCs w:val="28"/>
        </w:rPr>
      </w:pPr>
      <w:r w:rsidRPr="00684654">
        <w:rPr>
          <w:color w:val="833C0B" w:themeColor="accent2" w:themeShade="80"/>
          <w:sz w:val="28"/>
          <w:szCs w:val="28"/>
        </w:rPr>
        <w:t>that the whistleblower feels confident enough to raise concerns</w:t>
      </w:r>
    </w:p>
    <w:p w14:paraId="6B34C34D" w14:textId="18FDA80F" w:rsidR="00E6556E" w:rsidRDefault="00E6556E" w:rsidP="00684654">
      <w:pPr>
        <w:pStyle w:val="ListParagraph"/>
        <w:numPr>
          <w:ilvl w:val="1"/>
          <w:numId w:val="4"/>
        </w:numPr>
        <w:rPr>
          <w:color w:val="833C0B" w:themeColor="accent2" w:themeShade="80"/>
          <w:sz w:val="28"/>
          <w:szCs w:val="28"/>
        </w:rPr>
      </w:pPr>
      <w:r w:rsidRPr="00684654">
        <w:rPr>
          <w:color w:val="833C0B" w:themeColor="accent2" w:themeShade="80"/>
          <w:sz w:val="28"/>
          <w:szCs w:val="28"/>
        </w:rPr>
        <w:t>that the whistleblower feels reassured that they will be protected from reprisals or victimisation where they reasonably believe the disclosure to be made in the public interest.</w:t>
      </w:r>
    </w:p>
    <w:p w14:paraId="3BE3BCF6" w14:textId="77777777" w:rsidR="006E42F6" w:rsidRDefault="006E42F6" w:rsidP="006E42F6">
      <w:pPr>
        <w:rPr>
          <w:color w:val="833C0B" w:themeColor="accent2" w:themeShade="80"/>
          <w:sz w:val="28"/>
          <w:szCs w:val="28"/>
        </w:rPr>
      </w:pPr>
    </w:p>
    <w:p w14:paraId="62355F73" w14:textId="6841B5AE" w:rsidR="00E6556E" w:rsidRPr="006E42F6" w:rsidRDefault="00E6556E" w:rsidP="006E42F6">
      <w:pPr>
        <w:rPr>
          <w:color w:val="833C0B" w:themeColor="accent2" w:themeShade="80"/>
          <w:sz w:val="28"/>
          <w:szCs w:val="28"/>
        </w:rPr>
      </w:pPr>
      <w:r w:rsidRPr="006E42F6">
        <w:rPr>
          <w:color w:val="833C0B" w:themeColor="accent2" w:themeShade="80"/>
          <w:sz w:val="28"/>
          <w:szCs w:val="28"/>
        </w:rPr>
        <w:t>Implementing the policy</w:t>
      </w:r>
    </w:p>
    <w:p w14:paraId="6C928FC1" w14:textId="77777777" w:rsidR="006E42F6" w:rsidRPr="00684654" w:rsidRDefault="006E42F6" w:rsidP="006E42F6">
      <w:pPr>
        <w:pStyle w:val="ListParagraph"/>
        <w:rPr>
          <w:color w:val="833C0B" w:themeColor="accent2" w:themeShade="80"/>
          <w:sz w:val="28"/>
          <w:szCs w:val="28"/>
        </w:rPr>
      </w:pPr>
    </w:p>
    <w:p w14:paraId="349BAFFF" w14:textId="77777777" w:rsidR="00E6556E" w:rsidRPr="00684654" w:rsidRDefault="00E6556E" w:rsidP="00684654">
      <w:pPr>
        <w:pStyle w:val="ListParagraph"/>
        <w:numPr>
          <w:ilvl w:val="0"/>
          <w:numId w:val="4"/>
        </w:numPr>
        <w:rPr>
          <w:color w:val="833C0B" w:themeColor="accent2" w:themeShade="80"/>
          <w:sz w:val="28"/>
          <w:szCs w:val="28"/>
        </w:rPr>
      </w:pPr>
      <w:r w:rsidRPr="00684654">
        <w:rPr>
          <w:color w:val="833C0B" w:themeColor="accent2" w:themeShade="80"/>
          <w:sz w:val="28"/>
          <w:szCs w:val="28"/>
        </w:rPr>
        <w:t>We will do this by:</w:t>
      </w:r>
    </w:p>
    <w:p w14:paraId="53BB8EB8" w14:textId="4B7682DF" w:rsidR="00E6556E" w:rsidRPr="00684654" w:rsidRDefault="00520BFA" w:rsidP="00684654">
      <w:pPr>
        <w:pStyle w:val="ListParagraph"/>
        <w:numPr>
          <w:ilvl w:val="0"/>
          <w:numId w:val="4"/>
        </w:numPr>
        <w:rPr>
          <w:color w:val="833C0B" w:themeColor="accent2" w:themeShade="80"/>
          <w:sz w:val="28"/>
          <w:szCs w:val="28"/>
        </w:rPr>
      </w:pPr>
      <w:r w:rsidRPr="00684654">
        <w:rPr>
          <w:color w:val="833C0B" w:themeColor="accent2" w:themeShade="80"/>
          <w:sz w:val="28"/>
          <w:szCs w:val="28"/>
        </w:rPr>
        <w:t>P</w:t>
      </w:r>
      <w:r w:rsidR="00E6556E" w:rsidRPr="00684654">
        <w:rPr>
          <w:color w:val="833C0B" w:themeColor="accent2" w:themeShade="80"/>
          <w:sz w:val="28"/>
          <w:szCs w:val="28"/>
        </w:rPr>
        <w:t>ublishing</w:t>
      </w:r>
      <w:r>
        <w:rPr>
          <w:color w:val="833C0B" w:themeColor="accent2" w:themeShade="80"/>
          <w:sz w:val="28"/>
          <w:szCs w:val="28"/>
        </w:rPr>
        <w:t xml:space="preserve"> </w:t>
      </w:r>
      <w:r w:rsidR="00E6556E" w:rsidRPr="00684654">
        <w:rPr>
          <w:color w:val="833C0B" w:themeColor="accent2" w:themeShade="80"/>
          <w:sz w:val="28"/>
          <w:szCs w:val="28"/>
        </w:rPr>
        <w:t>and</w:t>
      </w:r>
      <w:r>
        <w:rPr>
          <w:color w:val="833C0B" w:themeColor="accent2" w:themeShade="80"/>
          <w:sz w:val="28"/>
          <w:szCs w:val="28"/>
        </w:rPr>
        <w:t xml:space="preserve"> </w:t>
      </w:r>
      <w:r w:rsidR="00E6556E" w:rsidRPr="00684654">
        <w:rPr>
          <w:color w:val="833C0B" w:themeColor="accent2" w:themeShade="80"/>
          <w:sz w:val="28"/>
          <w:szCs w:val="28"/>
        </w:rPr>
        <w:t>publicising</w:t>
      </w:r>
      <w:r>
        <w:rPr>
          <w:color w:val="833C0B" w:themeColor="accent2" w:themeShade="80"/>
          <w:sz w:val="28"/>
          <w:szCs w:val="28"/>
        </w:rPr>
        <w:t xml:space="preserve"> </w:t>
      </w:r>
      <w:r w:rsidR="00E6556E" w:rsidRPr="00684654">
        <w:rPr>
          <w:color w:val="833C0B" w:themeColor="accent2" w:themeShade="80"/>
          <w:sz w:val="28"/>
          <w:szCs w:val="28"/>
        </w:rPr>
        <w:t>the</w:t>
      </w:r>
      <w:r>
        <w:rPr>
          <w:color w:val="833C0B" w:themeColor="accent2" w:themeShade="80"/>
          <w:sz w:val="28"/>
          <w:szCs w:val="28"/>
        </w:rPr>
        <w:t xml:space="preserve"> </w:t>
      </w:r>
      <w:r w:rsidR="00E6556E" w:rsidRPr="00684654">
        <w:rPr>
          <w:color w:val="833C0B" w:themeColor="accent2" w:themeShade="80"/>
          <w:sz w:val="28"/>
          <w:szCs w:val="28"/>
        </w:rPr>
        <w:t>whistleblowing</w:t>
      </w:r>
      <w:r>
        <w:rPr>
          <w:color w:val="833C0B" w:themeColor="accent2" w:themeShade="80"/>
          <w:sz w:val="28"/>
          <w:szCs w:val="28"/>
        </w:rPr>
        <w:t xml:space="preserve"> </w:t>
      </w:r>
      <w:r w:rsidR="00E6556E" w:rsidRPr="00684654">
        <w:rPr>
          <w:color w:val="833C0B" w:themeColor="accent2" w:themeShade="80"/>
          <w:sz w:val="28"/>
          <w:szCs w:val="28"/>
        </w:rPr>
        <w:t>policy</w:t>
      </w:r>
      <w:r>
        <w:rPr>
          <w:color w:val="833C0B" w:themeColor="accent2" w:themeShade="80"/>
          <w:sz w:val="28"/>
          <w:szCs w:val="28"/>
        </w:rPr>
        <w:t xml:space="preserve"> </w:t>
      </w:r>
      <w:r w:rsidR="00E6556E" w:rsidRPr="00684654">
        <w:rPr>
          <w:color w:val="833C0B" w:themeColor="accent2" w:themeShade="80"/>
          <w:sz w:val="28"/>
          <w:szCs w:val="28"/>
        </w:rPr>
        <w:t>and</w:t>
      </w:r>
      <w:r>
        <w:rPr>
          <w:color w:val="833C0B" w:themeColor="accent2" w:themeShade="80"/>
          <w:sz w:val="28"/>
          <w:szCs w:val="28"/>
        </w:rPr>
        <w:t xml:space="preserve"> </w:t>
      </w:r>
      <w:r w:rsidR="00E6556E" w:rsidRPr="00684654">
        <w:rPr>
          <w:color w:val="833C0B" w:themeColor="accent2" w:themeShade="80"/>
          <w:sz w:val="28"/>
          <w:szCs w:val="28"/>
        </w:rPr>
        <w:t>procedure</w:t>
      </w:r>
      <w:r>
        <w:rPr>
          <w:color w:val="833C0B" w:themeColor="accent2" w:themeShade="80"/>
          <w:sz w:val="28"/>
          <w:szCs w:val="28"/>
        </w:rPr>
        <w:t xml:space="preserve"> </w:t>
      </w:r>
      <w:r w:rsidR="00E6556E" w:rsidRPr="00684654">
        <w:rPr>
          <w:color w:val="833C0B" w:themeColor="accent2" w:themeShade="80"/>
          <w:sz w:val="28"/>
          <w:szCs w:val="28"/>
        </w:rPr>
        <w:t>on the website</w:t>
      </w:r>
    </w:p>
    <w:p w14:paraId="5D5F14D0" w14:textId="61C579BC" w:rsidR="00E6556E" w:rsidRPr="00684654" w:rsidRDefault="00061276" w:rsidP="00684654">
      <w:pPr>
        <w:pStyle w:val="ListParagraph"/>
        <w:numPr>
          <w:ilvl w:val="0"/>
          <w:numId w:val="4"/>
        </w:numPr>
        <w:rPr>
          <w:color w:val="833C0B" w:themeColor="accent2" w:themeShade="80"/>
          <w:sz w:val="28"/>
          <w:szCs w:val="28"/>
        </w:rPr>
      </w:pPr>
      <w:r w:rsidRPr="00684654">
        <w:rPr>
          <w:color w:val="833C0B" w:themeColor="accent2" w:themeShade="80"/>
          <w:sz w:val="28"/>
          <w:szCs w:val="28"/>
        </w:rPr>
        <w:t>E</w:t>
      </w:r>
      <w:r w:rsidR="00E6556E" w:rsidRPr="00684654">
        <w:rPr>
          <w:color w:val="833C0B" w:themeColor="accent2" w:themeShade="80"/>
          <w:sz w:val="28"/>
          <w:szCs w:val="28"/>
        </w:rPr>
        <w:t>nsuring</w:t>
      </w:r>
      <w:r>
        <w:rPr>
          <w:color w:val="833C0B" w:themeColor="accent2" w:themeShade="80"/>
          <w:sz w:val="28"/>
          <w:szCs w:val="28"/>
        </w:rPr>
        <w:t xml:space="preserve"> </w:t>
      </w:r>
      <w:r w:rsidR="00E6556E" w:rsidRPr="00684654">
        <w:rPr>
          <w:color w:val="833C0B" w:themeColor="accent2" w:themeShade="80"/>
          <w:sz w:val="28"/>
          <w:szCs w:val="28"/>
        </w:rPr>
        <w:t>effective</w:t>
      </w:r>
      <w:r>
        <w:rPr>
          <w:color w:val="833C0B" w:themeColor="accent2" w:themeShade="80"/>
          <w:sz w:val="28"/>
          <w:szCs w:val="28"/>
        </w:rPr>
        <w:t xml:space="preserve"> </w:t>
      </w:r>
      <w:r w:rsidR="00E6556E" w:rsidRPr="00684654">
        <w:rPr>
          <w:color w:val="833C0B" w:themeColor="accent2" w:themeShade="80"/>
          <w:sz w:val="28"/>
          <w:szCs w:val="28"/>
        </w:rPr>
        <w:t>training</w:t>
      </w:r>
      <w:r>
        <w:rPr>
          <w:color w:val="833C0B" w:themeColor="accent2" w:themeShade="80"/>
          <w:sz w:val="28"/>
          <w:szCs w:val="28"/>
        </w:rPr>
        <w:t xml:space="preserve"> </w:t>
      </w:r>
      <w:r w:rsidR="00E6556E" w:rsidRPr="00684654">
        <w:rPr>
          <w:color w:val="833C0B" w:themeColor="accent2" w:themeShade="80"/>
          <w:sz w:val="28"/>
          <w:szCs w:val="28"/>
        </w:rPr>
        <w:t>is</w:t>
      </w:r>
      <w:r>
        <w:rPr>
          <w:color w:val="833C0B" w:themeColor="accent2" w:themeShade="80"/>
          <w:sz w:val="28"/>
          <w:szCs w:val="28"/>
        </w:rPr>
        <w:t xml:space="preserve"> </w:t>
      </w:r>
      <w:r w:rsidR="00E6556E" w:rsidRPr="00684654">
        <w:rPr>
          <w:color w:val="833C0B" w:themeColor="accent2" w:themeShade="80"/>
          <w:sz w:val="28"/>
          <w:szCs w:val="28"/>
        </w:rPr>
        <w:t>in</w:t>
      </w:r>
      <w:r>
        <w:rPr>
          <w:color w:val="833C0B" w:themeColor="accent2" w:themeShade="80"/>
          <w:sz w:val="28"/>
          <w:szCs w:val="28"/>
        </w:rPr>
        <w:t xml:space="preserve"> </w:t>
      </w:r>
      <w:r w:rsidR="00E6556E" w:rsidRPr="00684654">
        <w:rPr>
          <w:color w:val="833C0B" w:themeColor="accent2" w:themeShade="80"/>
          <w:sz w:val="28"/>
          <w:szCs w:val="28"/>
        </w:rPr>
        <w:t>place</w:t>
      </w:r>
      <w:r>
        <w:rPr>
          <w:color w:val="833C0B" w:themeColor="accent2" w:themeShade="80"/>
          <w:sz w:val="28"/>
          <w:szCs w:val="28"/>
        </w:rPr>
        <w:t xml:space="preserve"> </w:t>
      </w:r>
      <w:r w:rsidR="00E6556E" w:rsidRPr="00684654">
        <w:rPr>
          <w:color w:val="833C0B" w:themeColor="accent2" w:themeShade="80"/>
          <w:sz w:val="28"/>
          <w:szCs w:val="28"/>
        </w:rPr>
        <w:t>for</w:t>
      </w:r>
      <w:r>
        <w:rPr>
          <w:color w:val="833C0B" w:themeColor="accent2" w:themeShade="80"/>
          <w:sz w:val="28"/>
          <w:szCs w:val="28"/>
        </w:rPr>
        <w:t xml:space="preserve"> </w:t>
      </w:r>
      <w:r w:rsidR="00E6556E" w:rsidRPr="00684654">
        <w:rPr>
          <w:color w:val="833C0B" w:themeColor="accent2" w:themeShade="80"/>
          <w:sz w:val="28"/>
          <w:szCs w:val="28"/>
        </w:rPr>
        <w:t>all</w:t>
      </w:r>
      <w:r>
        <w:rPr>
          <w:color w:val="833C0B" w:themeColor="accent2" w:themeShade="80"/>
          <w:sz w:val="28"/>
          <w:szCs w:val="28"/>
        </w:rPr>
        <w:t xml:space="preserve"> </w:t>
      </w:r>
      <w:r w:rsidR="00E6556E" w:rsidRPr="00684654">
        <w:rPr>
          <w:color w:val="833C0B" w:themeColor="accent2" w:themeShade="80"/>
          <w:sz w:val="28"/>
          <w:szCs w:val="28"/>
        </w:rPr>
        <w:t>staff</w:t>
      </w:r>
      <w:r>
        <w:rPr>
          <w:color w:val="833C0B" w:themeColor="accent2" w:themeShade="80"/>
          <w:sz w:val="28"/>
          <w:szCs w:val="28"/>
        </w:rPr>
        <w:t xml:space="preserve"> </w:t>
      </w:r>
      <w:r w:rsidR="00E6556E" w:rsidRPr="00684654">
        <w:rPr>
          <w:color w:val="833C0B" w:themeColor="accent2" w:themeShade="80"/>
          <w:sz w:val="28"/>
          <w:szCs w:val="28"/>
        </w:rPr>
        <w:t>so</w:t>
      </w:r>
      <w:r>
        <w:rPr>
          <w:color w:val="833C0B" w:themeColor="accent2" w:themeShade="80"/>
          <w:sz w:val="28"/>
          <w:szCs w:val="28"/>
        </w:rPr>
        <w:t xml:space="preserve"> </w:t>
      </w:r>
      <w:r w:rsidR="00E6556E" w:rsidRPr="00684654">
        <w:rPr>
          <w:color w:val="833C0B" w:themeColor="accent2" w:themeShade="80"/>
          <w:sz w:val="28"/>
          <w:szCs w:val="28"/>
        </w:rPr>
        <w:t>that</w:t>
      </w:r>
      <w:r>
        <w:rPr>
          <w:color w:val="833C0B" w:themeColor="accent2" w:themeShade="80"/>
          <w:sz w:val="28"/>
          <w:szCs w:val="28"/>
        </w:rPr>
        <w:t xml:space="preserve"> </w:t>
      </w:r>
      <w:r w:rsidR="00E6556E" w:rsidRPr="00684654">
        <w:rPr>
          <w:color w:val="833C0B" w:themeColor="accent2" w:themeShade="80"/>
          <w:sz w:val="28"/>
          <w:szCs w:val="28"/>
        </w:rPr>
        <w:t>they</w:t>
      </w:r>
      <w:r>
        <w:rPr>
          <w:color w:val="833C0B" w:themeColor="accent2" w:themeShade="80"/>
          <w:sz w:val="28"/>
          <w:szCs w:val="28"/>
        </w:rPr>
        <w:t xml:space="preserve"> </w:t>
      </w:r>
      <w:r w:rsidR="00E6556E" w:rsidRPr="00684654">
        <w:rPr>
          <w:color w:val="833C0B" w:themeColor="accent2" w:themeShade="80"/>
          <w:sz w:val="28"/>
          <w:szCs w:val="28"/>
        </w:rPr>
        <w:t>know when and how to blow the whistle</w:t>
      </w:r>
    </w:p>
    <w:p w14:paraId="23AE65F4" w14:textId="02F27448" w:rsidR="00E6556E" w:rsidRPr="00684654" w:rsidRDefault="00061276" w:rsidP="00684654">
      <w:pPr>
        <w:pStyle w:val="ListParagraph"/>
        <w:numPr>
          <w:ilvl w:val="0"/>
          <w:numId w:val="4"/>
        </w:numPr>
        <w:rPr>
          <w:color w:val="833C0B" w:themeColor="accent2" w:themeShade="80"/>
          <w:sz w:val="28"/>
          <w:szCs w:val="28"/>
        </w:rPr>
      </w:pPr>
      <w:r w:rsidRPr="00684654">
        <w:rPr>
          <w:color w:val="833C0B" w:themeColor="accent2" w:themeShade="80"/>
          <w:sz w:val="28"/>
          <w:szCs w:val="28"/>
        </w:rPr>
        <w:lastRenderedPageBreak/>
        <w:t>E</w:t>
      </w:r>
      <w:r w:rsidR="00E6556E" w:rsidRPr="00684654">
        <w:rPr>
          <w:color w:val="833C0B" w:themeColor="accent2" w:themeShade="80"/>
          <w:sz w:val="28"/>
          <w:szCs w:val="28"/>
        </w:rPr>
        <w:t>nsuring</w:t>
      </w:r>
      <w:r>
        <w:rPr>
          <w:color w:val="833C0B" w:themeColor="accent2" w:themeShade="80"/>
          <w:sz w:val="28"/>
          <w:szCs w:val="28"/>
        </w:rPr>
        <w:t xml:space="preserve"> </w:t>
      </w:r>
      <w:r w:rsidR="00E6556E" w:rsidRPr="00684654">
        <w:rPr>
          <w:color w:val="833C0B" w:themeColor="accent2" w:themeShade="80"/>
          <w:sz w:val="28"/>
          <w:szCs w:val="28"/>
        </w:rPr>
        <w:t>that</w:t>
      </w:r>
      <w:r>
        <w:rPr>
          <w:color w:val="833C0B" w:themeColor="accent2" w:themeShade="80"/>
          <w:sz w:val="28"/>
          <w:szCs w:val="28"/>
        </w:rPr>
        <w:t xml:space="preserve"> </w:t>
      </w:r>
      <w:r w:rsidR="00E6556E" w:rsidRPr="00684654">
        <w:rPr>
          <w:color w:val="833C0B" w:themeColor="accent2" w:themeShade="80"/>
          <w:sz w:val="28"/>
          <w:szCs w:val="28"/>
        </w:rPr>
        <w:t>the</w:t>
      </w:r>
      <w:r>
        <w:rPr>
          <w:color w:val="833C0B" w:themeColor="accent2" w:themeShade="80"/>
          <w:sz w:val="28"/>
          <w:szCs w:val="28"/>
        </w:rPr>
        <w:t xml:space="preserve"> </w:t>
      </w:r>
      <w:r w:rsidR="00E6556E" w:rsidRPr="00684654">
        <w:rPr>
          <w:color w:val="833C0B" w:themeColor="accent2" w:themeShade="80"/>
          <w:sz w:val="28"/>
          <w:szCs w:val="28"/>
        </w:rPr>
        <w:t>whistle</w:t>
      </w:r>
      <w:r>
        <w:rPr>
          <w:color w:val="833C0B" w:themeColor="accent2" w:themeShade="80"/>
          <w:sz w:val="28"/>
          <w:szCs w:val="28"/>
        </w:rPr>
        <w:t xml:space="preserve"> </w:t>
      </w:r>
      <w:r w:rsidR="00E6556E" w:rsidRPr="00684654">
        <w:rPr>
          <w:color w:val="833C0B" w:themeColor="accent2" w:themeShade="80"/>
          <w:sz w:val="28"/>
          <w:szCs w:val="28"/>
        </w:rPr>
        <w:t>blower</w:t>
      </w:r>
      <w:r>
        <w:rPr>
          <w:color w:val="833C0B" w:themeColor="accent2" w:themeShade="80"/>
          <w:sz w:val="28"/>
          <w:szCs w:val="28"/>
        </w:rPr>
        <w:t xml:space="preserve"> </w:t>
      </w:r>
      <w:r w:rsidR="00E6556E" w:rsidRPr="00684654">
        <w:rPr>
          <w:color w:val="833C0B" w:themeColor="accent2" w:themeShade="80"/>
          <w:sz w:val="28"/>
          <w:szCs w:val="28"/>
        </w:rPr>
        <w:t>has</w:t>
      </w:r>
      <w:r>
        <w:rPr>
          <w:color w:val="833C0B" w:themeColor="accent2" w:themeShade="80"/>
          <w:sz w:val="28"/>
          <w:szCs w:val="28"/>
        </w:rPr>
        <w:t xml:space="preserve"> </w:t>
      </w:r>
      <w:r w:rsidR="00E6556E" w:rsidRPr="00684654">
        <w:rPr>
          <w:color w:val="833C0B" w:themeColor="accent2" w:themeShade="80"/>
          <w:sz w:val="28"/>
          <w:szCs w:val="28"/>
        </w:rPr>
        <w:t>a</w:t>
      </w:r>
      <w:r>
        <w:rPr>
          <w:color w:val="833C0B" w:themeColor="accent2" w:themeShade="80"/>
          <w:sz w:val="28"/>
          <w:szCs w:val="28"/>
        </w:rPr>
        <w:t xml:space="preserve"> </w:t>
      </w:r>
      <w:r w:rsidR="00E6556E" w:rsidRPr="00684654">
        <w:rPr>
          <w:color w:val="833C0B" w:themeColor="accent2" w:themeShade="80"/>
          <w:sz w:val="28"/>
          <w:szCs w:val="28"/>
        </w:rPr>
        <w:t>confidential</w:t>
      </w:r>
      <w:r>
        <w:rPr>
          <w:color w:val="833C0B" w:themeColor="accent2" w:themeShade="80"/>
          <w:sz w:val="28"/>
          <w:szCs w:val="28"/>
        </w:rPr>
        <w:t xml:space="preserve"> </w:t>
      </w:r>
      <w:r w:rsidR="00E6556E" w:rsidRPr="00684654">
        <w:rPr>
          <w:color w:val="833C0B" w:themeColor="accent2" w:themeShade="80"/>
          <w:sz w:val="28"/>
          <w:szCs w:val="28"/>
        </w:rPr>
        <w:t>method</w:t>
      </w:r>
      <w:r>
        <w:rPr>
          <w:color w:val="833C0B" w:themeColor="accent2" w:themeShade="80"/>
          <w:sz w:val="28"/>
          <w:szCs w:val="28"/>
        </w:rPr>
        <w:t xml:space="preserve"> </w:t>
      </w:r>
      <w:r w:rsidR="00E6556E" w:rsidRPr="00684654">
        <w:rPr>
          <w:color w:val="833C0B" w:themeColor="accent2" w:themeShade="80"/>
          <w:sz w:val="28"/>
          <w:szCs w:val="28"/>
        </w:rPr>
        <w:t>of</w:t>
      </w:r>
      <w:r>
        <w:rPr>
          <w:color w:val="833C0B" w:themeColor="accent2" w:themeShade="80"/>
          <w:sz w:val="28"/>
          <w:szCs w:val="28"/>
        </w:rPr>
        <w:t xml:space="preserve"> </w:t>
      </w:r>
      <w:r w:rsidR="00E6556E" w:rsidRPr="00684654">
        <w:rPr>
          <w:color w:val="833C0B" w:themeColor="accent2" w:themeShade="80"/>
          <w:sz w:val="28"/>
          <w:szCs w:val="28"/>
        </w:rPr>
        <w:t>raising concerns, including establishing a means of registering concerns through a Monitoring Officer</w:t>
      </w:r>
    </w:p>
    <w:p w14:paraId="1CC53E73" w14:textId="0B558A9E" w:rsidR="00061276" w:rsidRDefault="00061276" w:rsidP="00684654">
      <w:pPr>
        <w:pStyle w:val="ListParagraph"/>
        <w:numPr>
          <w:ilvl w:val="0"/>
          <w:numId w:val="4"/>
        </w:numPr>
        <w:rPr>
          <w:color w:val="833C0B" w:themeColor="accent2" w:themeShade="80"/>
          <w:sz w:val="28"/>
          <w:szCs w:val="28"/>
        </w:rPr>
      </w:pPr>
      <w:r w:rsidRPr="00061276">
        <w:rPr>
          <w:color w:val="833C0B" w:themeColor="accent2" w:themeShade="80"/>
          <w:sz w:val="28"/>
          <w:szCs w:val="28"/>
        </w:rPr>
        <w:t>S</w:t>
      </w:r>
      <w:r w:rsidR="00E6556E" w:rsidRPr="00061276">
        <w:rPr>
          <w:color w:val="833C0B" w:themeColor="accent2" w:themeShade="80"/>
          <w:sz w:val="28"/>
          <w:szCs w:val="28"/>
        </w:rPr>
        <w:t>etting</w:t>
      </w:r>
      <w:r w:rsidRPr="00061276">
        <w:rPr>
          <w:color w:val="833C0B" w:themeColor="accent2" w:themeShade="80"/>
          <w:sz w:val="28"/>
          <w:szCs w:val="28"/>
        </w:rPr>
        <w:t xml:space="preserve"> </w:t>
      </w:r>
      <w:r w:rsidR="00E6556E" w:rsidRPr="00061276">
        <w:rPr>
          <w:color w:val="833C0B" w:themeColor="accent2" w:themeShade="80"/>
          <w:sz w:val="28"/>
          <w:szCs w:val="28"/>
        </w:rPr>
        <w:t>out</w:t>
      </w:r>
      <w:r w:rsidRPr="00061276">
        <w:rPr>
          <w:color w:val="833C0B" w:themeColor="accent2" w:themeShade="80"/>
          <w:sz w:val="28"/>
          <w:szCs w:val="28"/>
        </w:rPr>
        <w:t xml:space="preserve"> </w:t>
      </w:r>
      <w:r w:rsidR="00E6556E" w:rsidRPr="00061276">
        <w:rPr>
          <w:color w:val="833C0B" w:themeColor="accent2" w:themeShade="80"/>
          <w:sz w:val="28"/>
          <w:szCs w:val="28"/>
        </w:rPr>
        <w:t>clearly</w:t>
      </w:r>
      <w:r w:rsidRPr="00061276">
        <w:rPr>
          <w:color w:val="833C0B" w:themeColor="accent2" w:themeShade="80"/>
          <w:sz w:val="28"/>
          <w:szCs w:val="28"/>
        </w:rPr>
        <w:t xml:space="preserve"> </w:t>
      </w:r>
      <w:r w:rsidR="00E6556E" w:rsidRPr="00061276">
        <w:rPr>
          <w:color w:val="833C0B" w:themeColor="accent2" w:themeShade="80"/>
          <w:sz w:val="28"/>
          <w:szCs w:val="28"/>
        </w:rPr>
        <w:t>how</w:t>
      </w:r>
      <w:r w:rsidRPr="00061276">
        <w:rPr>
          <w:color w:val="833C0B" w:themeColor="accent2" w:themeShade="80"/>
          <w:sz w:val="28"/>
          <w:szCs w:val="28"/>
        </w:rPr>
        <w:t xml:space="preserve"> </w:t>
      </w:r>
      <w:r w:rsidR="00E6556E" w:rsidRPr="00061276">
        <w:rPr>
          <w:color w:val="833C0B" w:themeColor="accent2" w:themeShade="80"/>
          <w:sz w:val="28"/>
          <w:szCs w:val="28"/>
        </w:rPr>
        <w:t>concerns</w:t>
      </w:r>
      <w:r w:rsidRPr="00061276">
        <w:rPr>
          <w:color w:val="833C0B" w:themeColor="accent2" w:themeShade="80"/>
          <w:sz w:val="28"/>
          <w:szCs w:val="28"/>
        </w:rPr>
        <w:t xml:space="preserve"> </w:t>
      </w:r>
      <w:r w:rsidR="00E6556E" w:rsidRPr="00061276">
        <w:rPr>
          <w:color w:val="833C0B" w:themeColor="accent2" w:themeShade="80"/>
          <w:sz w:val="28"/>
          <w:szCs w:val="28"/>
        </w:rPr>
        <w:t>will</w:t>
      </w:r>
      <w:r w:rsidRPr="00061276">
        <w:rPr>
          <w:color w:val="833C0B" w:themeColor="accent2" w:themeShade="80"/>
          <w:sz w:val="28"/>
          <w:szCs w:val="28"/>
        </w:rPr>
        <w:t xml:space="preserve"> </w:t>
      </w:r>
      <w:r w:rsidR="00E6556E" w:rsidRPr="00061276">
        <w:rPr>
          <w:color w:val="833C0B" w:themeColor="accent2" w:themeShade="80"/>
          <w:sz w:val="28"/>
          <w:szCs w:val="28"/>
        </w:rPr>
        <w:t>be</w:t>
      </w:r>
      <w:r w:rsidRPr="00061276">
        <w:rPr>
          <w:color w:val="833C0B" w:themeColor="accent2" w:themeShade="80"/>
          <w:sz w:val="28"/>
          <w:szCs w:val="28"/>
        </w:rPr>
        <w:t xml:space="preserve"> </w:t>
      </w:r>
      <w:r w:rsidR="00E6556E" w:rsidRPr="00061276">
        <w:rPr>
          <w:color w:val="833C0B" w:themeColor="accent2" w:themeShade="80"/>
          <w:sz w:val="28"/>
          <w:szCs w:val="28"/>
        </w:rPr>
        <w:t>dealt</w:t>
      </w:r>
      <w:r w:rsidRPr="00061276">
        <w:rPr>
          <w:color w:val="833C0B" w:themeColor="accent2" w:themeShade="80"/>
          <w:sz w:val="28"/>
          <w:szCs w:val="28"/>
        </w:rPr>
        <w:t xml:space="preserve"> </w:t>
      </w:r>
      <w:r w:rsidR="00E6556E" w:rsidRPr="00061276">
        <w:rPr>
          <w:color w:val="833C0B" w:themeColor="accent2" w:themeShade="80"/>
          <w:sz w:val="28"/>
          <w:szCs w:val="28"/>
        </w:rPr>
        <w:t>with;how</w:t>
      </w:r>
      <w:r w:rsidRPr="00061276">
        <w:rPr>
          <w:color w:val="833C0B" w:themeColor="accent2" w:themeShade="80"/>
          <w:sz w:val="28"/>
          <w:szCs w:val="28"/>
        </w:rPr>
        <w:t xml:space="preserve"> </w:t>
      </w:r>
      <w:r w:rsidR="00E6556E" w:rsidRPr="00061276">
        <w:rPr>
          <w:color w:val="833C0B" w:themeColor="accent2" w:themeShade="80"/>
          <w:sz w:val="28"/>
          <w:szCs w:val="28"/>
        </w:rPr>
        <w:t>further</w:t>
      </w:r>
      <w:r w:rsidRPr="00061276">
        <w:rPr>
          <w:color w:val="833C0B" w:themeColor="accent2" w:themeShade="80"/>
          <w:sz w:val="28"/>
          <w:szCs w:val="28"/>
        </w:rPr>
        <w:t xml:space="preserve"> </w:t>
      </w:r>
      <w:r w:rsidR="00E6556E" w:rsidRPr="00061276">
        <w:rPr>
          <w:color w:val="833C0B" w:themeColor="accent2" w:themeShade="80"/>
          <w:sz w:val="28"/>
          <w:szCs w:val="28"/>
        </w:rPr>
        <w:t xml:space="preserve">steps can be taken or how to seek independent advice outside of </w:t>
      </w:r>
      <w:r w:rsidR="00D953C9">
        <w:rPr>
          <w:color w:val="833C0B" w:themeColor="accent2" w:themeShade="80"/>
          <w:sz w:val="28"/>
          <w:szCs w:val="28"/>
        </w:rPr>
        <w:t>TSD 4 Foster Carers.</w:t>
      </w:r>
      <w:r w:rsidRPr="00061276">
        <w:rPr>
          <w:color w:val="833C0B" w:themeColor="accent2" w:themeShade="80"/>
          <w:sz w:val="28"/>
          <w:szCs w:val="28"/>
        </w:rPr>
        <w:t xml:space="preserve"> </w:t>
      </w:r>
    </w:p>
    <w:p w14:paraId="6B81D216" w14:textId="25B49BAF" w:rsidR="00E6556E" w:rsidRPr="00061276" w:rsidRDefault="00E6556E" w:rsidP="00684654">
      <w:pPr>
        <w:pStyle w:val="ListParagraph"/>
        <w:numPr>
          <w:ilvl w:val="0"/>
          <w:numId w:val="4"/>
        </w:numPr>
        <w:rPr>
          <w:color w:val="833C0B" w:themeColor="accent2" w:themeShade="80"/>
          <w:sz w:val="28"/>
          <w:szCs w:val="28"/>
        </w:rPr>
      </w:pPr>
      <w:r w:rsidRPr="00061276">
        <w:rPr>
          <w:color w:val="833C0B" w:themeColor="accent2" w:themeShade="80"/>
          <w:sz w:val="28"/>
          <w:szCs w:val="28"/>
        </w:rPr>
        <w:t>Roles and responsibilities for implementing and monitoring and reviewing</w:t>
      </w:r>
    </w:p>
    <w:p w14:paraId="6E658003" w14:textId="08976773" w:rsidR="00E6556E" w:rsidRPr="00A044B6" w:rsidRDefault="00E6556E" w:rsidP="00E6556E">
      <w:pPr>
        <w:rPr>
          <w:color w:val="833C0B" w:themeColor="accent2" w:themeShade="80"/>
          <w:sz w:val="28"/>
          <w:szCs w:val="28"/>
        </w:rPr>
      </w:pPr>
    </w:p>
    <w:p w14:paraId="46ECF431" w14:textId="77777777" w:rsidR="00E6556E" w:rsidRPr="00A044B6" w:rsidRDefault="00E6556E" w:rsidP="00E6556E">
      <w:pPr>
        <w:rPr>
          <w:color w:val="833C0B" w:themeColor="accent2" w:themeShade="80"/>
          <w:sz w:val="28"/>
          <w:szCs w:val="28"/>
        </w:rPr>
      </w:pPr>
    </w:p>
    <w:p w14:paraId="0B60D472" w14:textId="705EEF85" w:rsidR="00E6556E" w:rsidRPr="008A0550" w:rsidRDefault="00E6556E" w:rsidP="008A0550">
      <w:pPr>
        <w:pStyle w:val="ListParagraph"/>
        <w:numPr>
          <w:ilvl w:val="1"/>
          <w:numId w:val="6"/>
        </w:numPr>
        <w:rPr>
          <w:color w:val="833C0B" w:themeColor="accent2" w:themeShade="80"/>
          <w:sz w:val="28"/>
          <w:szCs w:val="28"/>
        </w:rPr>
      </w:pPr>
      <w:r w:rsidRPr="008A0550">
        <w:rPr>
          <w:color w:val="833C0B" w:themeColor="accent2" w:themeShade="80"/>
          <w:sz w:val="28"/>
          <w:szCs w:val="28"/>
        </w:rPr>
        <w:t>The Monitoring Officer will maintain a register containing all concerns that are brought to their attention</w:t>
      </w:r>
    </w:p>
    <w:p w14:paraId="1CC2C852" w14:textId="11B00ED0" w:rsidR="00E6556E" w:rsidRPr="008A0550" w:rsidRDefault="00E6556E" w:rsidP="008A0550">
      <w:pPr>
        <w:pStyle w:val="ListParagraph"/>
        <w:numPr>
          <w:ilvl w:val="1"/>
          <w:numId w:val="6"/>
        </w:numPr>
        <w:rPr>
          <w:color w:val="833C0B" w:themeColor="accent2" w:themeShade="80"/>
          <w:sz w:val="28"/>
          <w:szCs w:val="28"/>
        </w:rPr>
      </w:pPr>
      <w:r w:rsidRPr="008A0550">
        <w:rPr>
          <w:color w:val="833C0B" w:themeColor="accent2" w:themeShade="80"/>
          <w:sz w:val="28"/>
          <w:szCs w:val="28"/>
        </w:rPr>
        <w:t>Managers looking into the concern must ensure that the Monitoring Officer, Director of Standards and Improvement, is provided with sufficient details of the concerns for the register</w:t>
      </w:r>
    </w:p>
    <w:p w14:paraId="778BC063" w14:textId="2A45250F" w:rsidR="00E6556E" w:rsidRDefault="00E6556E" w:rsidP="008A0550">
      <w:pPr>
        <w:pStyle w:val="ListParagraph"/>
        <w:numPr>
          <w:ilvl w:val="1"/>
          <w:numId w:val="6"/>
        </w:numPr>
        <w:rPr>
          <w:color w:val="833C0B" w:themeColor="accent2" w:themeShade="80"/>
          <w:sz w:val="28"/>
          <w:szCs w:val="28"/>
        </w:rPr>
      </w:pPr>
      <w:r w:rsidRPr="008A0550">
        <w:rPr>
          <w:color w:val="833C0B" w:themeColor="accent2" w:themeShade="80"/>
          <w:sz w:val="28"/>
          <w:szCs w:val="28"/>
        </w:rPr>
        <w:t xml:space="preserve">The Monitoring Officer will review the register and produce an annual report to the </w:t>
      </w:r>
      <w:r w:rsidR="00424272">
        <w:rPr>
          <w:color w:val="833C0B" w:themeColor="accent2" w:themeShade="80"/>
          <w:sz w:val="28"/>
          <w:szCs w:val="28"/>
        </w:rPr>
        <w:t xml:space="preserve">TSD 4 Foster Carers director </w:t>
      </w:r>
      <w:r w:rsidRPr="008A0550">
        <w:rPr>
          <w:color w:val="833C0B" w:themeColor="accent2" w:themeShade="80"/>
          <w:sz w:val="28"/>
          <w:szCs w:val="28"/>
        </w:rPr>
        <w:t>and any other relevant forums. The report will not mention any employees, only the concerns raised, the number of such concerns, division they related to and highlighting any subsequent outcome(s)</w:t>
      </w:r>
    </w:p>
    <w:p w14:paraId="156479FE" w14:textId="77777777" w:rsidR="008A0550" w:rsidRPr="008A0550" w:rsidRDefault="008A0550" w:rsidP="008A0550">
      <w:pPr>
        <w:rPr>
          <w:color w:val="833C0B" w:themeColor="accent2" w:themeShade="80"/>
          <w:sz w:val="28"/>
          <w:szCs w:val="28"/>
        </w:rPr>
      </w:pPr>
    </w:p>
    <w:p w14:paraId="2C3B64E0" w14:textId="4760848F" w:rsidR="00E6556E" w:rsidRPr="008A0550" w:rsidRDefault="00E6556E" w:rsidP="008A0550">
      <w:pPr>
        <w:rPr>
          <w:color w:val="833C0B" w:themeColor="accent2" w:themeShade="80"/>
          <w:sz w:val="28"/>
          <w:szCs w:val="28"/>
        </w:rPr>
      </w:pPr>
      <w:r w:rsidRPr="008A0550">
        <w:rPr>
          <w:color w:val="833C0B" w:themeColor="accent2" w:themeShade="80"/>
          <w:sz w:val="28"/>
          <w:szCs w:val="28"/>
        </w:rPr>
        <w:t>The whistleblowing policy will be reviewed annually by the Monitoring Officer in conjunction with the Head of Human Resources and the Joint Heads of Audit to judge its effectiveness, or updated sooner in accordance with changes in legislation</w:t>
      </w:r>
    </w:p>
    <w:sectPr w:rsidR="00E6556E" w:rsidRPr="008A0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23BE"/>
    <w:multiLevelType w:val="hybridMultilevel"/>
    <w:tmpl w:val="617E9E80"/>
    <w:lvl w:ilvl="0" w:tplc="FFFFFFFF">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3C5602"/>
    <w:multiLevelType w:val="hybridMultilevel"/>
    <w:tmpl w:val="81400FC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A4B24"/>
    <w:multiLevelType w:val="hybridMultilevel"/>
    <w:tmpl w:val="856A9FDA"/>
    <w:lvl w:ilvl="0" w:tplc="0809000B">
      <w:start w:val="1"/>
      <w:numFmt w:val="bullet"/>
      <w:lvlText w:val=""/>
      <w:lvlJc w:val="left"/>
      <w:pPr>
        <w:ind w:left="720" w:hanging="360"/>
      </w:pPr>
      <w:rPr>
        <w:rFonts w:ascii="Wingdings" w:hAnsi="Wingdings" w:hint="default"/>
      </w:rPr>
    </w:lvl>
    <w:lvl w:ilvl="1" w:tplc="06C28242">
      <w:numFmt w:val="bullet"/>
      <w:lvlText w:val="•"/>
      <w:lvlJc w:val="left"/>
      <w:pPr>
        <w:ind w:left="1440" w:hanging="360"/>
      </w:pPr>
      <w:rPr>
        <w:rFonts w:ascii="Calibri" w:eastAsiaTheme="minorEastAsia"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9053E"/>
    <w:multiLevelType w:val="hybridMultilevel"/>
    <w:tmpl w:val="9638470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C2F24"/>
    <w:multiLevelType w:val="hybridMultilevel"/>
    <w:tmpl w:val="A2308A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675533"/>
    <w:multiLevelType w:val="hybridMultilevel"/>
    <w:tmpl w:val="882226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967942">
    <w:abstractNumId w:val="0"/>
  </w:num>
  <w:num w:numId="2" w16cid:durableId="1315791042">
    <w:abstractNumId w:val="2"/>
  </w:num>
  <w:num w:numId="3" w16cid:durableId="1441801506">
    <w:abstractNumId w:val="3"/>
  </w:num>
  <w:num w:numId="4" w16cid:durableId="1118336667">
    <w:abstractNumId w:val="5"/>
  </w:num>
  <w:num w:numId="5" w16cid:durableId="887885182">
    <w:abstractNumId w:val="4"/>
  </w:num>
  <w:num w:numId="6" w16cid:durableId="212284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6E"/>
    <w:rsid w:val="00004911"/>
    <w:rsid w:val="00061276"/>
    <w:rsid w:val="00062A91"/>
    <w:rsid w:val="001D7146"/>
    <w:rsid w:val="00281DC5"/>
    <w:rsid w:val="0037079C"/>
    <w:rsid w:val="00424272"/>
    <w:rsid w:val="004E7659"/>
    <w:rsid w:val="00520BFA"/>
    <w:rsid w:val="005E70F7"/>
    <w:rsid w:val="00684654"/>
    <w:rsid w:val="006E3F31"/>
    <w:rsid w:val="006E42F6"/>
    <w:rsid w:val="007173AD"/>
    <w:rsid w:val="0072459F"/>
    <w:rsid w:val="008A0550"/>
    <w:rsid w:val="009E0DB2"/>
    <w:rsid w:val="00A044B6"/>
    <w:rsid w:val="00A620E9"/>
    <w:rsid w:val="00B21153"/>
    <w:rsid w:val="00B377E2"/>
    <w:rsid w:val="00BC6BC8"/>
    <w:rsid w:val="00CB3B9D"/>
    <w:rsid w:val="00D32AA8"/>
    <w:rsid w:val="00D90112"/>
    <w:rsid w:val="00D953C9"/>
    <w:rsid w:val="00E6556E"/>
    <w:rsid w:val="00E72531"/>
    <w:rsid w:val="00E85C80"/>
    <w:rsid w:val="00ED3768"/>
    <w:rsid w:val="00F45871"/>
    <w:rsid w:val="00F9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948650"/>
  <w15:chartTrackingRefBased/>
  <w15:docId w15:val="{4C7A739D-AD4A-7C47-BF16-B0F13E72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nunn</dc:creator>
  <cp:keywords/>
  <dc:description/>
  <cp:lastModifiedBy>helena nunn</cp:lastModifiedBy>
  <cp:revision>2</cp:revision>
  <dcterms:created xsi:type="dcterms:W3CDTF">2023-03-11T12:51:00Z</dcterms:created>
  <dcterms:modified xsi:type="dcterms:W3CDTF">2023-03-11T12:51:00Z</dcterms:modified>
</cp:coreProperties>
</file>